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E20B7" w14:textId="15A5DB67" w:rsidR="00177897" w:rsidRPr="000D237D" w:rsidRDefault="001248EB" w:rsidP="00177897">
      <w:pPr>
        <w:rPr>
          <w:b/>
          <w:bCs/>
          <w:sz w:val="44"/>
          <w:szCs w:val="44"/>
        </w:rPr>
      </w:pPr>
      <w:r w:rsidRPr="00CD57F9">
        <w:rPr>
          <w:b/>
          <w:bCs/>
          <w:sz w:val="44"/>
          <w:szCs w:val="44"/>
        </w:rPr>
        <w:t>Europe’s cyclists left behind as safety gap widens, new ETSC report finds</w:t>
      </w:r>
    </w:p>
    <w:p w14:paraId="7329D96D" w14:textId="77777777" w:rsidR="001248EB" w:rsidRPr="000D237D" w:rsidRDefault="001248EB" w:rsidP="00177897">
      <w:pPr>
        <w:rPr>
          <w:b/>
          <w:bCs/>
        </w:rPr>
      </w:pPr>
    </w:p>
    <w:p w14:paraId="52B2DAAB" w14:textId="547618CF" w:rsidR="00177897" w:rsidRPr="00402364" w:rsidRDefault="00177897" w:rsidP="00177897">
      <w:pPr>
        <w:rPr>
          <w:rFonts w:ascii="Calibri" w:hAnsi="Calibri" w:cs="Calibri"/>
          <w:b/>
          <w:bCs/>
          <w:sz w:val="22"/>
          <w:szCs w:val="22"/>
        </w:rPr>
      </w:pPr>
      <w:r w:rsidRPr="00402364">
        <w:rPr>
          <w:rFonts w:ascii="Calibri" w:hAnsi="Calibri" w:cs="Calibri"/>
          <w:b/>
          <w:bCs/>
          <w:sz w:val="22"/>
          <w:szCs w:val="22"/>
        </w:rPr>
        <w:t>21 April 2026, 00:01 CET</w:t>
      </w:r>
    </w:p>
    <w:p w14:paraId="302CCE09" w14:textId="77777777" w:rsidR="00177897" w:rsidRPr="00555225" w:rsidRDefault="00177897" w:rsidP="00177897">
      <w:pPr>
        <w:rPr>
          <w:b/>
          <w:bCs/>
          <w:sz w:val="22"/>
          <w:szCs w:val="22"/>
        </w:rPr>
      </w:pPr>
    </w:p>
    <w:p w14:paraId="6454348F" w14:textId="2F64B586" w:rsidR="00177897" w:rsidRPr="00555225" w:rsidRDefault="00177897" w:rsidP="00177897">
      <w:pPr>
        <w:rPr>
          <w:sz w:val="22"/>
          <w:szCs w:val="22"/>
        </w:rPr>
      </w:pPr>
      <w:r w:rsidRPr="00555225">
        <w:rPr>
          <w:i/>
          <w:iCs/>
          <w:sz w:val="22"/>
          <w:szCs w:val="22"/>
        </w:rPr>
        <w:t xml:space="preserve">A landmark report published today by the European Transport Safety Council (ETSC) reveals that cyclist deaths across the European Union have barely declined over the past decade </w:t>
      </w:r>
      <w:r w:rsidR="00330414" w:rsidRPr="00555225">
        <w:rPr>
          <w:i/>
          <w:iCs/>
          <w:sz w:val="22"/>
          <w:szCs w:val="22"/>
        </w:rPr>
        <w:t>-</w:t>
      </w:r>
      <w:r w:rsidRPr="00555225">
        <w:rPr>
          <w:i/>
          <w:iCs/>
          <w:sz w:val="22"/>
          <w:szCs w:val="22"/>
        </w:rPr>
        <w:t xml:space="preserve"> even as deaths among car occupants have fallen at four times the rate. The report calls for urgent action on motor vehicle speed reduction and separated cycling infrastructure to close a widening safety gap.</w:t>
      </w:r>
    </w:p>
    <w:p w14:paraId="10D960FC" w14:textId="2EAAD673" w:rsidR="00177897" w:rsidRPr="00555225" w:rsidRDefault="00177897" w:rsidP="00177897">
      <w:pPr>
        <w:rPr>
          <w:b/>
          <w:bCs/>
          <w:sz w:val="22"/>
          <w:szCs w:val="22"/>
        </w:rPr>
      </w:pPr>
    </w:p>
    <w:p w14:paraId="49D7B3FC" w14:textId="30D4005D" w:rsidR="00177897" w:rsidRPr="00555225" w:rsidRDefault="00177897" w:rsidP="00177897">
      <w:pPr>
        <w:rPr>
          <w:sz w:val="22"/>
          <w:szCs w:val="22"/>
        </w:rPr>
      </w:pPr>
      <w:r w:rsidRPr="00555225">
        <w:rPr>
          <w:i/>
          <w:iCs/>
          <w:sz w:val="22"/>
          <w:szCs w:val="22"/>
        </w:rPr>
        <w:t>Brussels</w:t>
      </w:r>
      <w:r w:rsidRPr="00555225">
        <w:rPr>
          <w:sz w:val="22"/>
          <w:szCs w:val="22"/>
        </w:rPr>
        <w:t xml:space="preserve"> - In 2024, 1,926 cyclists were killed on EU roads. Over the decade from 2014 to 2024, cyclist deaths fell by just 8% - an average annual reduction of only 0.5%. By stark contrast, deaths among motorised road users fell at an annual rate of 2%, four times faster.</w:t>
      </w:r>
    </w:p>
    <w:p w14:paraId="48690DF4" w14:textId="77777777" w:rsidR="00177897" w:rsidRPr="00555225" w:rsidRDefault="00177897" w:rsidP="00177897">
      <w:pPr>
        <w:rPr>
          <w:sz w:val="22"/>
          <w:szCs w:val="22"/>
        </w:rPr>
      </w:pPr>
    </w:p>
    <w:p w14:paraId="7320AEB9" w14:textId="676EDE0A" w:rsidR="00177897" w:rsidRPr="00555225" w:rsidRDefault="00177897" w:rsidP="00177897">
      <w:pPr>
        <w:rPr>
          <w:sz w:val="22"/>
          <w:szCs w:val="22"/>
        </w:rPr>
      </w:pPr>
      <w:r w:rsidRPr="00555225">
        <w:rPr>
          <w:sz w:val="22"/>
          <w:szCs w:val="22"/>
        </w:rPr>
        <w:t>To meet the EU’s 2030 target of halving road deaths, an</w:t>
      </w:r>
      <w:r w:rsidR="00FE4E09" w:rsidRPr="00555225">
        <w:rPr>
          <w:sz w:val="22"/>
          <w:szCs w:val="22"/>
        </w:rPr>
        <w:t xml:space="preserve"> overall </w:t>
      </w:r>
      <w:r w:rsidRPr="00555225">
        <w:rPr>
          <w:sz w:val="22"/>
          <w:szCs w:val="22"/>
        </w:rPr>
        <w:t xml:space="preserve">annual reduction of 6.5% would be required - thirteen times the current rate of progress for cyclists. Cyclists now account for 10% of all road deaths in the EU. </w:t>
      </w:r>
      <w:r w:rsidR="00FE4E09" w:rsidRPr="00555225">
        <w:rPr>
          <w:sz w:val="22"/>
          <w:szCs w:val="22"/>
        </w:rPr>
        <w:t>Without serious</w:t>
      </w:r>
      <w:r w:rsidR="00373676" w:rsidRPr="00555225">
        <w:rPr>
          <w:sz w:val="22"/>
          <w:szCs w:val="22"/>
        </w:rPr>
        <w:t xml:space="preserve"> safety improvements</w:t>
      </w:r>
      <w:r w:rsidR="00FE4E09" w:rsidRPr="00555225">
        <w:rPr>
          <w:sz w:val="22"/>
          <w:szCs w:val="22"/>
        </w:rPr>
        <w:t xml:space="preserve"> this proportion will grow.</w:t>
      </w:r>
      <w:r w:rsidRPr="00555225">
        <w:rPr>
          <w:sz w:val="22"/>
          <w:szCs w:val="22"/>
        </w:rPr>
        <w:t xml:space="preserve"> </w:t>
      </w:r>
    </w:p>
    <w:p w14:paraId="6BBB102F" w14:textId="77777777" w:rsidR="00177897" w:rsidRPr="00555225" w:rsidRDefault="00177897" w:rsidP="00177897">
      <w:pPr>
        <w:rPr>
          <w:sz w:val="22"/>
          <w:szCs w:val="22"/>
        </w:rPr>
      </w:pPr>
    </w:p>
    <w:p w14:paraId="47DBE9CA" w14:textId="782F1B92" w:rsidR="00177897" w:rsidRPr="00555225" w:rsidRDefault="0025585F" w:rsidP="00177897">
      <w:pPr>
        <w:rPr>
          <w:sz w:val="22"/>
          <w:szCs w:val="22"/>
        </w:rPr>
      </w:pPr>
      <w:r w:rsidRPr="00555225">
        <w:rPr>
          <w:sz w:val="22"/>
          <w:szCs w:val="22"/>
        </w:rPr>
        <w:t>P</w:t>
      </w:r>
      <w:r w:rsidR="00FE4E09" w:rsidRPr="00555225">
        <w:rPr>
          <w:sz w:val="22"/>
          <w:szCs w:val="22"/>
        </w:rPr>
        <w:t>olice</w:t>
      </w:r>
      <w:r w:rsidR="00373676" w:rsidRPr="00555225">
        <w:rPr>
          <w:sz w:val="22"/>
          <w:szCs w:val="22"/>
        </w:rPr>
        <w:t>-</w:t>
      </w:r>
      <w:r w:rsidR="00177897" w:rsidRPr="00555225">
        <w:rPr>
          <w:sz w:val="22"/>
          <w:szCs w:val="22"/>
        </w:rPr>
        <w:t>reported serious injuries among cyclists increased by 12% over the same period</w:t>
      </w:r>
      <w:r w:rsidRPr="00555225">
        <w:rPr>
          <w:sz w:val="22"/>
          <w:szCs w:val="22"/>
        </w:rPr>
        <w:t>. H</w:t>
      </w:r>
      <w:r w:rsidR="00177897" w:rsidRPr="00555225">
        <w:rPr>
          <w:sz w:val="22"/>
          <w:szCs w:val="22"/>
        </w:rPr>
        <w:t xml:space="preserve">ospital data </w:t>
      </w:r>
      <w:r w:rsidRPr="00555225">
        <w:rPr>
          <w:sz w:val="22"/>
          <w:szCs w:val="22"/>
        </w:rPr>
        <w:t xml:space="preserve">suggest the </w:t>
      </w:r>
      <w:r w:rsidR="00177897" w:rsidRPr="00555225">
        <w:rPr>
          <w:sz w:val="22"/>
          <w:szCs w:val="22"/>
        </w:rPr>
        <w:t xml:space="preserve">true scale is far </w:t>
      </w:r>
      <w:r w:rsidRPr="00555225">
        <w:rPr>
          <w:sz w:val="22"/>
          <w:szCs w:val="22"/>
        </w:rPr>
        <w:t xml:space="preserve">higher, with </w:t>
      </w:r>
      <w:r w:rsidR="00FE0A76" w:rsidRPr="00555225">
        <w:rPr>
          <w:sz w:val="22"/>
          <w:szCs w:val="22"/>
        </w:rPr>
        <w:t xml:space="preserve">fewer than </w:t>
      </w:r>
      <w:r w:rsidR="00177897" w:rsidRPr="00555225">
        <w:rPr>
          <w:sz w:val="22"/>
          <w:szCs w:val="22"/>
        </w:rPr>
        <w:t>10% of injured cyclists appear</w:t>
      </w:r>
      <w:r w:rsidRPr="00555225">
        <w:rPr>
          <w:sz w:val="22"/>
          <w:szCs w:val="22"/>
        </w:rPr>
        <w:t>ing</w:t>
      </w:r>
      <w:r w:rsidR="00177897" w:rsidRPr="00555225">
        <w:rPr>
          <w:sz w:val="22"/>
          <w:szCs w:val="22"/>
        </w:rPr>
        <w:t xml:space="preserve"> in police statistics</w:t>
      </w:r>
      <w:r w:rsidRPr="00555225">
        <w:rPr>
          <w:sz w:val="22"/>
          <w:szCs w:val="22"/>
        </w:rPr>
        <w:t xml:space="preserve"> in some countries</w:t>
      </w:r>
      <w:r w:rsidR="00177897" w:rsidRPr="00555225">
        <w:rPr>
          <w:sz w:val="22"/>
          <w:szCs w:val="22"/>
        </w:rPr>
        <w:t>.</w:t>
      </w:r>
    </w:p>
    <w:p w14:paraId="2AD5B880" w14:textId="77777777" w:rsidR="00177897" w:rsidRPr="00555225" w:rsidRDefault="00177897" w:rsidP="00177897">
      <w:pPr>
        <w:rPr>
          <w:sz w:val="22"/>
          <w:szCs w:val="22"/>
        </w:rPr>
      </w:pPr>
    </w:p>
    <w:p w14:paraId="22992469" w14:textId="77777777" w:rsidR="00373676" w:rsidRPr="00555225" w:rsidRDefault="00177897" w:rsidP="00177897">
      <w:pPr>
        <w:rPr>
          <w:sz w:val="22"/>
          <w:szCs w:val="22"/>
        </w:rPr>
      </w:pPr>
      <w:r w:rsidRPr="00555225">
        <w:rPr>
          <w:sz w:val="22"/>
          <w:szCs w:val="22"/>
        </w:rPr>
        <w:t>The report makes clear where the greatest danger lies: 65% of cyclist deaths in the EU result from collisions with motor vehicles. Passenger car</w:t>
      </w:r>
      <w:r w:rsidR="003361FD" w:rsidRPr="00555225">
        <w:rPr>
          <w:sz w:val="22"/>
          <w:szCs w:val="22"/>
        </w:rPr>
        <w:t xml:space="preserve"> collisions</w:t>
      </w:r>
      <w:r w:rsidRPr="00555225">
        <w:rPr>
          <w:sz w:val="22"/>
          <w:szCs w:val="22"/>
        </w:rPr>
        <w:t xml:space="preserve"> account for 44% of cyclist deaths, with heavy goods vehicles (9%) and vans (7%) also contributing significantly.</w:t>
      </w:r>
      <w:r w:rsidR="00C415C3" w:rsidRPr="00555225">
        <w:rPr>
          <w:sz w:val="22"/>
          <w:szCs w:val="22"/>
        </w:rPr>
        <w:t xml:space="preserve"> </w:t>
      </w:r>
    </w:p>
    <w:p w14:paraId="40ACC1EE" w14:textId="77777777" w:rsidR="00373676" w:rsidRPr="00555225" w:rsidRDefault="00373676" w:rsidP="00177897">
      <w:pPr>
        <w:rPr>
          <w:sz w:val="22"/>
          <w:szCs w:val="22"/>
        </w:rPr>
      </w:pPr>
    </w:p>
    <w:p w14:paraId="58B27171" w14:textId="570C1E4C" w:rsidR="00177897" w:rsidRPr="00555225" w:rsidRDefault="00177897" w:rsidP="00177897">
      <w:pPr>
        <w:rPr>
          <w:sz w:val="22"/>
          <w:szCs w:val="22"/>
        </w:rPr>
      </w:pPr>
      <w:r w:rsidRPr="00555225">
        <w:rPr>
          <w:sz w:val="22"/>
          <w:szCs w:val="22"/>
        </w:rPr>
        <w:t xml:space="preserve">ETSC is calling on national governments and the European Commission to make speed reduction a priority. Lower motor vehicle speeds are one of the most effective measures available to protect cyclists: </w:t>
      </w:r>
      <w:r w:rsidR="0025585F" w:rsidRPr="00555225">
        <w:rPr>
          <w:sz w:val="22"/>
          <w:szCs w:val="22"/>
        </w:rPr>
        <w:t>the risk of death for a cyclist hit at 50 km/h is many times higher than at 30 km/h.</w:t>
      </w:r>
    </w:p>
    <w:p w14:paraId="49E92C1D" w14:textId="77777777" w:rsidR="00177897" w:rsidRPr="00555225" w:rsidRDefault="00177897" w:rsidP="00177897">
      <w:pPr>
        <w:rPr>
          <w:sz w:val="22"/>
          <w:szCs w:val="22"/>
        </w:rPr>
      </w:pPr>
    </w:p>
    <w:p w14:paraId="71609619" w14:textId="1FC148A8" w:rsidR="001248EB" w:rsidRPr="00555225" w:rsidRDefault="0025585F" w:rsidP="00177897">
      <w:pPr>
        <w:rPr>
          <w:sz w:val="22"/>
          <w:szCs w:val="22"/>
        </w:rPr>
      </w:pPr>
      <w:r w:rsidRPr="00555225">
        <w:rPr>
          <w:sz w:val="22"/>
          <w:szCs w:val="22"/>
        </w:rPr>
        <w:t xml:space="preserve">The report also finds that </w:t>
      </w:r>
      <w:r w:rsidR="00CD57F9" w:rsidRPr="00555225">
        <w:rPr>
          <w:sz w:val="22"/>
          <w:szCs w:val="22"/>
        </w:rPr>
        <w:t xml:space="preserve">at least </w:t>
      </w:r>
      <w:r w:rsidRPr="00555225">
        <w:rPr>
          <w:sz w:val="22"/>
          <w:szCs w:val="22"/>
        </w:rPr>
        <w:t>28% of cyclist deaths involve no other vehicle, such as falls or collisions with kerbs or stationary objects. Most serious injuries also occur in these types of crashes.</w:t>
      </w:r>
    </w:p>
    <w:p w14:paraId="7D0DA2BA" w14:textId="77777777" w:rsidR="0025585F" w:rsidRPr="00555225" w:rsidRDefault="0025585F" w:rsidP="00177897">
      <w:pPr>
        <w:rPr>
          <w:sz w:val="22"/>
          <w:szCs w:val="22"/>
        </w:rPr>
      </w:pPr>
    </w:p>
    <w:p w14:paraId="50B6E9D2" w14:textId="28873E10" w:rsidR="00177897" w:rsidRPr="00555225" w:rsidRDefault="00177897" w:rsidP="00177897">
      <w:pPr>
        <w:rPr>
          <w:b/>
          <w:bCs/>
          <w:sz w:val="22"/>
          <w:szCs w:val="22"/>
        </w:rPr>
      </w:pPr>
      <w:r w:rsidRPr="00555225">
        <w:rPr>
          <w:b/>
          <w:bCs/>
          <w:sz w:val="22"/>
          <w:szCs w:val="22"/>
        </w:rPr>
        <w:t xml:space="preserve">The case for </w:t>
      </w:r>
      <w:r w:rsidR="00BC478C" w:rsidRPr="00555225">
        <w:rPr>
          <w:b/>
          <w:bCs/>
          <w:sz w:val="22"/>
          <w:szCs w:val="22"/>
        </w:rPr>
        <w:t xml:space="preserve">high-quality, </w:t>
      </w:r>
      <w:r w:rsidRPr="00555225">
        <w:rPr>
          <w:b/>
          <w:bCs/>
          <w:sz w:val="22"/>
          <w:szCs w:val="22"/>
        </w:rPr>
        <w:t xml:space="preserve">separated </w:t>
      </w:r>
      <w:r w:rsidR="00BC478C" w:rsidRPr="00555225">
        <w:rPr>
          <w:b/>
          <w:bCs/>
          <w:sz w:val="22"/>
          <w:szCs w:val="22"/>
        </w:rPr>
        <w:t xml:space="preserve">cycling </w:t>
      </w:r>
      <w:r w:rsidRPr="00555225">
        <w:rPr>
          <w:b/>
          <w:bCs/>
          <w:sz w:val="22"/>
          <w:szCs w:val="22"/>
        </w:rPr>
        <w:t>infrastructure</w:t>
      </w:r>
    </w:p>
    <w:p w14:paraId="5D367D20" w14:textId="77777777" w:rsidR="00177897" w:rsidRPr="00555225" w:rsidRDefault="00177897" w:rsidP="00177897">
      <w:pPr>
        <w:rPr>
          <w:b/>
          <w:bCs/>
          <w:sz w:val="22"/>
          <w:szCs w:val="22"/>
        </w:rPr>
      </w:pPr>
    </w:p>
    <w:p w14:paraId="6CC27BB4" w14:textId="77777777" w:rsidR="001248EB" w:rsidRPr="00555225" w:rsidRDefault="00177897" w:rsidP="00177897">
      <w:pPr>
        <w:rPr>
          <w:sz w:val="22"/>
          <w:szCs w:val="22"/>
        </w:rPr>
      </w:pPr>
      <w:r w:rsidRPr="00555225">
        <w:rPr>
          <w:sz w:val="22"/>
          <w:szCs w:val="22"/>
        </w:rPr>
        <w:t>The report underlines that physical separation of cyclists from fast-moving motor traffic is essential to achieving meaningful safety improvements. Where separation is not possible, safe speed limits must be enforced. Investment in high-quality separated cycling infrastructure - protected lanes, cycle paths and safe junctions - must be scaled up urgently across Europe.</w:t>
      </w:r>
      <w:r w:rsidR="001248EB" w:rsidRPr="00555225">
        <w:rPr>
          <w:sz w:val="22"/>
          <w:szCs w:val="22"/>
        </w:rPr>
        <w:t xml:space="preserve">  </w:t>
      </w:r>
    </w:p>
    <w:p w14:paraId="7767EFEF" w14:textId="77777777" w:rsidR="00F51396" w:rsidRDefault="00F51396" w:rsidP="00177897">
      <w:pPr>
        <w:rPr>
          <w:sz w:val="22"/>
          <w:szCs w:val="22"/>
        </w:rPr>
      </w:pPr>
    </w:p>
    <w:p w14:paraId="1434FB1A" w14:textId="64A05EF6" w:rsidR="00177897" w:rsidRPr="00555225" w:rsidRDefault="001248EB" w:rsidP="00177897">
      <w:pPr>
        <w:rPr>
          <w:sz w:val="22"/>
          <w:szCs w:val="22"/>
        </w:rPr>
      </w:pPr>
      <w:r w:rsidRPr="00555225">
        <w:rPr>
          <w:sz w:val="22"/>
          <w:szCs w:val="22"/>
        </w:rPr>
        <w:t>Smooth cycle lanes</w:t>
      </w:r>
      <w:r w:rsidR="006D1AB5" w:rsidRPr="00555225">
        <w:rPr>
          <w:sz w:val="22"/>
          <w:szCs w:val="22"/>
        </w:rPr>
        <w:t xml:space="preserve"> that are sufficiently wide and </w:t>
      </w:r>
      <w:r w:rsidRPr="00555225">
        <w:rPr>
          <w:sz w:val="22"/>
          <w:szCs w:val="22"/>
        </w:rPr>
        <w:t>without obstacles</w:t>
      </w:r>
      <w:r w:rsidR="006D1AB5" w:rsidRPr="00555225">
        <w:rPr>
          <w:sz w:val="22"/>
          <w:szCs w:val="22"/>
        </w:rPr>
        <w:t xml:space="preserve"> </w:t>
      </w:r>
      <w:r w:rsidRPr="00555225">
        <w:rPr>
          <w:sz w:val="22"/>
          <w:szCs w:val="22"/>
        </w:rPr>
        <w:t xml:space="preserve">can also reduce injuries and deaths caused by falls or collision with an object on the road.  </w:t>
      </w:r>
    </w:p>
    <w:p w14:paraId="0566EEC3" w14:textId="77777777" w:rsidR="00177897" w:rsidRPr="00555225" w:rsidRDefault="00177897" w:rsidP="00177897">
      <w:pPr>
        <w:rPr>
          <w:sz w:val="22"/>
          <w:szCs w:val="22"/>
        </w:rPr>
      </w:pPr>
    </w:p>
    <w:p w14:paraId="4F91D7CE" w14:textId="77777777" w:rsidR="00177897" w:rsidRPr="00555225" w:rsidRDefault="00177897" w:rsidP="00177897">
      <w:pPr>
        <w:rPr>
          <w:sz w:val="22"/>
          <w:szCs w:val="22"/>
        </w:rPr>
      </w:pPr>
      <w:r w:rsidRPr="00555225">
        <w:rPr>
          <w:sz w:val="22"/>
          <w:szCs w:val="22"/>
        </w:rPr>
        <w:t>As governments across Europe encourage citizens to shift from cars to cycling for environmental and health reasons, the failure to provide safe infrastructure represents a fundamental contradiction in transport policy.</w:t>
      </w:r>
    </w:p>
    <w:p w14:paraId="16A33B9C" w14:textId="77777777" w:rsidR="00177897" w:rsidRPr="00555225" w:rsidRDefault="00177897" w:rsidP="00177897">
      <w:pPr>
        <w:rPr>
          <w:sz w:val="22"/>
          <w:szCs w:val="22"/>
        </w:rPr>
      </w:pPr>
    </w:p>
    <w:p w14:paraId="0F1284C2" w14:textId="77777777" w:rsidR="00177897" w:rsidRPr="00555225" w:rsidRDefault="00177897" w:rsidP="00177897">
      <w:pPr>
        <w:rPr>
          <w:sz w:val="22"/>
          <w:szCs w:val="22"/>
        </w:rPr>
      </w:pPr>
      <w:r w:rsidRPr="00555225">
        <w:rPr>
          <w:sz w:val="22"/>
          <w:szCs w:val="22"/>
        </w:rPr>
        <w:t xml:space="preserve">Jenny Carson, co-author of the report for ETSC said: </w:t>
      </w:r>
    </w:p>
    <w:p w14:paraId="5AECEE32" w14:textId="02EF5708" w:rsidR="00177897" w:rsidRPr="00555225" w:rsidRDefault="00177897" w:rsidP="00177897">
      <w:pPr>
        <w:rPr>
          <w:sz w:val="22"/>
          <w:szCs w:val="22"/>
        </w:rPr>
      </w:pPr>
      <w:r w:rsidRPr="00555225">
        <w:rPr>
          <w:i/>
          <w:iCs/>
          <w:sz w:val="22"/>
          <w:szCs w:val="22"/>
        </w:rPr>
        <w:lastRenderedPageBreak/>
        <w:t xml:space="preserve">“Governments are actively encouraging more people to cycle - for the climate, </w:t>
      </w:r>
      <w:r w:rsidR="003F33BE" w:rsidRPr="00555225">
        <w:rPr>
          <w:i/>
          <w:iCs/>
          <w:sz w:val="22"/>
          <w:szCs w:val="22"/>
        </w:rPr>
        <w:t>to reduce fossil-fuel use</w:t>
      </w:r>
      <w:r w:rsidR="00CE749D" w:rsidRPr="00555225">
        <w:rPr>
          <w:i/>
          <w:iCs/>
          <w:sz w:val="22"/>
          <w:szCs w:val="22"/>
        </w:rPr>
        <w:t xml:space="preserve"> and congestion</w:t>
      </w:r>
      <w:r w:rsidR="003F33BE" w:rsidRPr="00555225">
        <w:rPr>
          <w:i/>
          <w:iCs/>
          <w:sz w:val="22"/>
          <w:szCs w:val="22"/>
        </w:rPr>
        <w:t xml:space="preserve">, </w:t>
      </w:r>
      <w:r w:rsidRPr="00555225">
        <w:rPr>
          <w:i/>
          <w:iCs/>
          <w:sz w:val="22"/>
          <w:szCs w:val="22"/>
        </w:rPr>
        <w:t xml:space="preserve">for public health, for our cities. But they are not providing the safe conditions that cyclists need and deserve. You cannot ask people to cycle and then fail to protect them from fast-moving traffic. We need lower speeds where cyclists and motor vehicles share space, and we need separated </w:t>
      </w:r>
      <w:r w:rsidR="00CE749D" w:rsidRPr="00555225">
        <w:rPr>
          <w:i/>
          <w:iCs/>
          <w:sz w:val="22"/>
          <w:szCs w:val="22"/>
        </w:rPr>
        <w:t xml:space="preserve">cycling </w:t>
      </w:r>
      <w:r w:rsidRPr="00555225">
        <w:rPr>
          <w:i/>
          <w:iCs/>
          <w:sz w:val="22"/>
          <w:szCs w:val="22"/>
        </w:rPr>
        <w:t xml:space="preserve">infrastructure where </w:t>
      </w:r>
      <w:r w:rsidR="00DE2DB4" w:rsidRPr="00555225">
        <w:rPr>
          <w:i/>
          <w:iCs/>
          <w:sz w:val="22"/>
          <w:szCs w:val="22"/>
        </w:rPr>
        <w:t>speed limit</w:t>
      </w:r>
      <w:r w:rsidR="00BC478C" w:rsidRPr="00555225">
        <w:rPr>
          <w:i/>
          <w:iCs/>
          <w:sz w:val="22"/>
          <w:szCs w:val="22"/>
        </w:rPr>
        <w:t>s are set above 30 km/h</w:t>
      </w:r>
      <w:r w:rsidRPr="00555225">
        <w:rPr>
          <w:i/>
          <w:iCs/>
          <w:sz w:val="22"/>
          <w:szCs w:val="22"/>
        </w:rPr>
        <w:t>. The data could not be clearer: without urgent action, cyclists will continue to pay with their lives.”</w:t>
      </w:r>
    </w:p>
    <w:p w14:paraId="53C6EB2E" w14:textId="77777777" w:rsidR="00177897" w:rsidRPr="00555225" w:rsidRDefault="00177897" w:rsidP="00177897">
      <w:pPr>
        <w:rPr>
          <w:sz w:val="22"/>
          <w:szCs w:val="22"/>
        </w:rPr>
      </w:pPr>
    </w:p>
    <w:p w14:paraId="2711B5FF" w14:textId="566E0036" w:rsidR="001248EB" w:rsidRPr="00555225" w:rsidRDefault="0025585F" w:rsidP="00177897">
      <w:pPr>
        <w:rPr>
          <w:sz w:val="22"/>
          <w:szCs w:val="22"/>
        </w:rPr>
      </w:pPr>
      <w:r w:rsidRPr="00555225">
        <w:rPr>
          <w:sz w:val="22"/>
          <w:szCs w:val="22"/>
        </w:rPr>
        <w:t xml:space="preserve">While </w:t>
      </w:r>
      <w:r w:rsidR="00CD57F9" w:rsidRPr="00555225">
        <w:rPr>
          <w:sz w:val="22"/>
          <w:szCs w:val="22"/>
        </w:rPr>
        <w:t xml:space="preserve">lack of safe cycling </w:t>
      </w:r>
      <w:r w:rsidRPr="00555225">
        <w:rPr>
          <w:sz w:val="22"/>
          <w:szCs w:val="22"/>
        </w:rPr>
        <w:t>infrastructure and motor vehicle speed remain the primary concerns, research cited in the report indicates that helmets can reduce head injuries by 51% and fatal head injuries by 72%.</w:t>
      </w:r>
    </w:p>
    <w:p w14:paraId="6CD5C4F4" w14:textId="77777777" w:rsidR="0025585F" w:rsidRPr="00555225" w:rsidRDefault="0025585F" w:rsidP="00177897">
      <w:pPr>
        <w:rPr>
          <w:sz w:val="22"/>
          <w:szCs w:val="22"/>
        </w:rPr>
      </w:pPr>
    </w:p>
    <w:p w14:paraId="4E7AD499" w14:textId="4D721342" w:rsidR="00177897" w:rsidRPr="00555225" w:rsidRDefault="00177897" w:rsidP="00177897">
      <w:pPr>
        <w:rPr>
          <w:b/>
          <w:bCs/>
          <w:sz w:val="22"/>
          <w:szCs w:val="22"/>
        </w:rPr>
      </w:pPr>
      <w:r w:rsidRPr="00555225">
        <w:rPr>
          <w:b/>
          <w:bCs/>
          <w:sz w:val="22"/>
          <w:szCs w:val="22"/>
        </w:rPr>
        <w:t>Additional findings</w:t>
      </w:r>
    </w:p>
    <w:p w14:paraId="593AC2A7" w14:textId="69303C34" w:rsidR="00177897" w:rsidRPr="00555225" w:rsidRDefault="00177897" w:rsidP="00177897">
      <w:pPr>
        <w:numPr>
          <w:ilvl w:val="0"/>
          <w:numId w:val="1"/>
        </w:numPr>
        <w:rPr>
          <w:sz w:val="22"/>
          <w:szCs w:val="22"/>
        </w:rPr>
      </w:pPr>
      <w:r w:rsidRPr="00555225">
        <w:rPr>
          <w:sz w:val="22"/>
          <w:szCs w:val="22"/>
        </w:rPr>
        <w:t xml:space="preserve">Older cyclists are disproportionately at risk, with mortality rates rising sharply among those aged over 80. The growing use of </w:t>
      </w:r>
      <w:proofErr w:type="gramStart"/>
      <w:r w:rsidRPr="00555225">
        <w:rPr>
          <w:sz w:val="22"/>
          <w:szCs w:val="22"/>
        </w:rPr>
        <w:t>electrically-assisted</w:t>
      </w:r>
      <w:proofErr w:type="gramEnd"/>
      <w:r w:rsidRPr="00555225">
        <w:rPr>
          <w:sz w:val="22"/>
          <w:szCs w:val="22"/>
        </w:rPr>
        <w:t xml:space="preserve"> bicycles, particularly by older riders, </w:t>
      </w:r>
      <w:r w:rsidR="001248EB" w:rsidRPr="00555225">
        <w:rPr>
          <w:sz w:val="22"/>
          <w:szCs w:val="22"/>
        </w:rPr>
        <w:t>further increases casualty risk</w:t>
      </w:r>
      <w:r w:rsidRPr="00555225">
        <w:rPr>
          <w:sz w:val="22"/>
          <w:szCs w:val="22"/>
        </w:rPr>
        <w:t>.</w:t>
      </w:r>
    </w:p>
    <w:p w14:paraId="3E4A6F0A" w14:textId="041E90DF" w:rsidR="00177897" w:rsidRPr="00555225" w:rsidRDefault="00177897" w:rsidP="00177897">
      <w:pPr>
        <w:numPr>
          <w:ilvl w:val="0"/>
          <w:numId w:val="1"/>
        </w:numPr>
        <w:rPr>
          <w:sz w:val="22"/>
          <w:szCs w:val="22"/>
        </w:rPr>
      </w:pPr>
      <w:r w:rsidRPr="00555225">
        <w:rPr>
          <w:sz w:val="22"/>
          <w:szCs w:val="22"/>
        </w:rPr>
        <w:t>Men account for 80% of cyclist deaths, likely reflecting differences in distance cycled and risky behaviours.</w:t>
      </w:r>
    </w:p>
    <w:p w14:paraId="48929B77" w14:textId="5C46A63F" w:rsidR="00177897" w:rsidRPr="00555225" w:rsidRDefault="00177897" w:rsidP="00177897">
      <w:pPr>
        <w:numPr>
          <w:ilvl w:val="0"/>
          <w:numId w:val="1"/>
        </w:numPr>
        <w:rPr>
          <w:sz w:val="22"/>
          <w:szCs w:val="22"/>
        </w:rPr>
      </w:pPr>
      <w:r w:rsidRPr="00555225">
        <w:rPr>
          <w:sz w:val="22"/>
          <w:szCs w:val="22"/>
        </w:rPr>
        <w:t>Deaths among e-bike users are seen increasing in countries that distinguish between bicycle types, even as deaths among conventional cyclists decline.</w:t>
      </w:r>
    </w:p>
    <w:p w14:paraId="38A29977" w14:textId="77777777" w:rsidR="00177897" w:rsidRPr="00555225" w:rsidRDefault="00177897" w:rsidP="00177897">
      <w:pPr>
        <w:ind w:left="720"/>
        <w:rPr>
          <w:sz w:val="22"/>
          <w:szCs w:val="22"/>
        </w:rPr>
      </w:pPr>
    </w:p>
    <w:p w14:paraId="5D2A67B2" w14:textId="639FD3FA" w:rsidR="00177897" w:rsidRPr="00555225" w:rsidRDefault="00177897" w:rsidP="00177897">
      <w:pPr>
        <w:rPr>
          <w:b/>
          <w:bCs/>
          <w:sz w:val="22"/>
          <w:szCs w:val="22"/>
        </w:rPr>
      </w:pPr>
      <w:r w:rsidRPr="00555225">
        <w:rPr>
          <w:b/>
          <w:bCs/>
          <w:sz w:val="22"/>
          <w:szCs w:val="22"/>
        </w:rPr>
        <w:t>ETSC’s key recommendations</w:t>
      </w:r>
    </w:p>
    <w:p w14:paraId="3ED903F0" w14:textId="77777777" w:rsidR="00177897" w:rsidRPr="00555225" w:rsidRDefault="00177897" w:rsidP="00177897">
      <w:pPr>
        <w:numPr>
          <w:ilvl w:val="0"/>
          <w:numId w:val="1"/>
        </w:numPr>
        <w:rPr>
          <w:sz w:val="22"/>
          <w:szCs w:val="22"/>
        </w:rPr>
      </w:pPr>
      <w:r w:rsidRPr="00555225">
        <w:rPr>
          <w:sz w:val="22"/>
          <w:szCs w:val="22"/>
        </w:rPr>
        <w:t>Introduce and enforce 30 km/h speed limits on urban roads where cyclists and motor vehicles share space.</w:t>
      </w:r>
    </w:p>
    <w:p w14:paraId="2678D3B9" w14:textId="7CF15C26" w:rsidR="00177897" w:rsidRPr="00555225" w:rsidRDefault="00177897" w:rsidP="00177897">
      <w:pPr>
        <w:numPr>
          <w:ilvl w:val="0"/>
          <w:numId w:val="1"/>
        </w:numPr>
        <w:rPr>
          <w:sz w:val="22"/>
          <w:szCs w:val="22"/>
        </w:rPr>
      </w:pPr>
      <w:r w:rsidRPr="00555225">
        <w:rPr>
          <w:sz w:val="22"/>
          <w:szCs w:val="22"/>
        </w:rPr>
        <w:t xml:space="preserve">Significantly increase investment in separated </w:t>
      </w:r>
      <w:r w:rsidR="00C415C3" w:rsidRPr="00555225">
        <w:rPr>
          <w:sz w:val="22"/>
          <w:szCs w:val="22"/>
        </w:rPr>
        <w:t xml:space="preserve">high quality </w:t>
      </w:r>
      <w:r w:rsidRPr="00555225">
        <w:rPr>
          <w:sz w:val="22"/>
          <w:szCs w:val="22"/>
        </w:rPr>
        <w:t>cycling infrastructure, including protected lanes, dedicated cycle paths, and safe junction design.</w:t>
      </w:r>
      <w:r w:rsidR="001248EB" w:rsidRPr="00555225">
        <w:rPr>
          <w:sz w:val="22"/>
          <w:szCs w:val="22"/>
        </w:rPr>
        <w:t xml:space="preserve"> Enhance smooth and object-free bicycle infrastructure to prevent single bicycle collisions.</w:t>
      </w:r>
    </w:p>
    <w:p w14:paraId="15609268" w14:textId="33AFD977" w:rsidR="00C415C3" w:rsidRPr="00555225" w:rsidRDefault="00E7763E" w:rsidP="00177897">
      <w:pPr>
        <w:numPr>
          <w:ilvl w:val="0"/>
          <w:numId w:val="1"/>
        </w:numPr>
        <w:rPr>
          <w:sz w:val="22"/>
          <w:szCs w:val="22"/>
        </w:rPr>
      </w:pPr>
      <w:r w:rsidRPr="00555225">
        <w:rPr>
          <w:sz w:val="22"/>
          <w:szCs w:val="22"/>
        </w:rPr>
        <w:t xml:space="preserve">Urge the </w:t>
      </w:r>
      <w:r w:rsidR="00BC478C" w:rsidRPr="00555225">
        <w:rPr>
          <w:sz w:val="22"/>
          <w:szCs w:val="22"/>
        </w:rPr>
        <w:t xml:space="preserve">European Commission </w:t>
      </w:r>
      <w:r w:rsidRPr="00555225">
        <w:rPr>
          <w:sz w:val="22"/>
          <w:szCs w:val="22"/>
        </w:rPr>
        <w:t xml:space="preserve">to </w:t>
      </w:r>
      <w:r w:rsidR="00BC478C" w:rsidRPr="00555225">
        <w:rPr>
          <w:sz w:val="22"/>
          <w:szCs w:val="22"/>
        </w:rPr>
        <w:t>publish expert g</w:t>
      </w:r>
      <w:r w:rsidR="00C415C3" w:rsidRPr="00555225">
        <w:rPr>
          <w:sz w:val="22"/>
          <w:szCs w:val="22"/>
        </w:rPr>
        <w:t xml:space="preserve">uidance on </w:t>
      </w:r>
      <w:r w:rsidR="00BC478C" w:rsidRPr="00555225">
        <w:rPr>
          <w:sz w:val="22"/>
          <w:szCs w:val="22"/>
        </w:rPr>
        <w:t>q</w:t>
      </w:r>
      <w:r w:rsidR="00C415C3" w:rsidRPr="00555225">
        <w:rPr>
          <w:sz w:val="22"/>
          <w:szCs w:val="22"/>
        </w:rPr>
        <w:t xml:space="preserve">uality </w:t>
      </w:r>
      <w:r w:rsidR="00BC478C" w:rsidRPr="00555225">
        <w:rPr>
          <w:sz w:val="22"/>
          <w:szCs w:val="22"/>
        </w:rPr>
        <w:t>i</w:t>
      </w:r>
      <w:r w:rsidR="00C415C3" w:rsidRPr="00555225">
        <w:rPr>
          <w:sz w:val="22"/>
          <w:szCs w:val="22"/>
        </w:rPr>
        <w:t xml:space="preserve">nfrastructure for </w:t>
      </w:r>
      <w:r w:rsidR="00BC478C" w:rsidRPr="00555225">
        <w:rPr>
          <w:sz w:val="22"/>
          <w:szCs w:val="22"/>
        </w:rPr>
        <w:t>v</w:t>
      </w:r>
      <w:r w:rsidR="00C415C3" w:rsidRPr="00555225">
        <w:rPr>
          <w:sz w:val="22"/>
          <w:szCs w:val="22"/>
        </w:rPr>
        <w:t xml:space="preserve">ulnerable </w:t>
      </w:r>
      <w:r w:rsidR="00BC478C" w:rsidRPr="00555225">
        <w:rPr>
          <w:sz w:val="22"/>
          <w:szCs w:val="22"/>
        </w:rPr>
        <w:t>r</w:t>
      </w:r>
      <w:r w:rsidR="00C415C3" w:rsidRPr="00555225">
        <w:rPr>
          <w:sz w:val="22"/>
          <w:szCs w:val="22"/>
        </w:rPr>
        <w:t xml:space="preserve">oad </w:t>
      </w:r>
      <w:r w:rsidR="00BC478C" w:rsidRPr="00555225">
        <w:rPr>
          <w:sz w:val="22"/>
          <w:szCs w:val="22"/>
        </w:rPr>
        <w:t>u</w:t>
      </w:r>
      <w:r w:rsidR="00C415C3" w:rsidRPr="00555225">
        <w:rPr>
          <w:sz w:val="22"/>
          <w:szCs w:val="22"/>
        </w:rPr>
        <w:t>sers.</w:t>
      </w:r>
    </w:p>
    <w:p w14:paraId="045F2944" w14:textId="2D72B799" w:rsidR="00177897" w:rsidRPr="00555225" w:rsidRDefault="00177897" w:rsidP="00177897">
      <w:pPr>
        <w:numPr>
          <w:ilvl w:val="0"/>
          <w:numId w:val="1"/>
        </w:numPr>
        <w:rPr>
          <w:sz w:val="22"/>
          <w:szCs w:val="22"/>
        </w:rPr>
      </w:pPr>
      <w:r w:rsidRPr="00555225">
        <w:rPr>
          <w:sz w:val="22"/>
          <w:szCs w:val="22"/>
        </w:rPr>
        <w:t>Accelerate the roll-out of vehicle safety technologies - including auto</w:t>
      </w:r>
      <w:r w:rsidR="00D1309E" w:rsidRPr="00555225">
        <w:rPr>
          <w:sz w:val="22"/>
          <w:szCs w:val="22"/>
        </w:rPr>
        <w:t>mated</w:t>
      </w:r>
      <w:r w:rsidRPr="00555225">
        <w:rPr>
          <w:sz w:val="22"/>
          <w:szCs w:val="22"/>
        </w:rPr>
        <w:t xml:space="preserve"> emergency braking with cyclist detection - across the EU fleet.</w:t>
      </w:r>
    </w:p>
    <w:p w14:paraId="51BECD00" w14:textId="77777777" w:rsidR="00177897" w:rsidRPr="00555225" w:rsidRDefault="00177897" w:rsidP="00177897">
      <w:pPr>
        <w:numPr>
          <w:ilvl w:val="0"/>
          <w:numId w:val="1"/>
        </w:numPr>
        <w:rPr>
          <w:sz w:val="22"/>
          <w:szCs w:val="22"/>
        </w:rPr>
      </w:pPr>
      <w:r w:rsidRPr="00555225">
        <w:rPr>
          <w:sz w:val="22"/>
          <w:szCs w:val="22"/>
        </w:rPr>
        <w:t>Improve data collection on cyclist injuries, including through mandatory hospital reporting, to better understand the true scale of harm.</w:t>
      </w:r>
    </w:p>
    <w:p w14:paraId="1FCB54CA" w14:textId="4364071B" w:rsidR="00177897" w:rsidRPr="00555225" w:rsidRDefault="00177897" w:rsidP="00177897">
      <w:pPr>
        <w:numPr>
          <w:ilvl w:val="0"/>
          <w:numId w:val="1"/>
        </w:numPr>
        <w:rPr>
          <w:sz w:val="22"/>
          <w:szCs w:val="22"/>
        </w:rPr>
      </w:pPr>
      <w:r w:rsidRPr="00555225">
        <w:rPr>
          <w:sz w:val="22"/>
          <w:szCs w:val="22"/>
        </w:rPr>
        <w:t>Adopt key performance indicators for cyclist safety as part of national and EU road safety strategies.</w:t>
      </w:r>
    </w:p>
    <w:p w14:paraId="6F71615C" w14:textId="7AF65D54" w:rsidR="00C415C3" w:rsidRPr="00555225" w:rsidRDefault="00E7763E" w:rsidP="00177897">
      <w:pPr>
        <w:numPr>
          <w:ilvl w:val="0"/>
          <w:numId w:val="1"/>
        </w:numPr>
        <w:rPr>
          <w:sz w:val="22"/>
          <w:szCs w:val="22"/>
        </w:rPr>
      </w:pPr>
      <w:r w:rsidRPr="00555225">
        <w:rPr>
          <w:sz w:val="22"/>
          <w:szCs w:val="22"/>
        </w:rPr>
        <w:t>Encourage n</w:t>
      </w:r>
      <w:r w:rsidR="00BC478C" w:rsidRPr="00555225">
        <w:rPr>
          <w:sz w:val="22"/>
          <w:szCs w:val="22"/>
        </w:rPr>
        <w:t xml:space="preserve">ational governments </w:t>
      </w:r>
      <w:r w:rsidRPr="00555225">
        <w:rPr>
          <w:sz w:val="22"/>
          <w:szCs w:val="22"/>
        </w:rPr>
        <w:t>to develop</w:t>
      </w:r>
      <w:r w:rsidR="00C415C3" w:rsidRPr="00555225">
        <w:rPr>
          <w:sz w:val="22"/>
          <w:szCs w:val="22"/>
        </w:rPr>
        <w:t xml:space="preserve"> National Cycling Strategies with targets and measures on road safety. </w:t>
      </w:r>
    </w:p>
    <w:p w14:paraId="1FF517FA" w14:textId="2515CB75" w:rsidR="00CE749D" w:rsidRPr="00555225" w:rsidRDefault="00CE749D" w:rsidP="00177897">
      <w:pPr>
        <w:numPr>
          <w:ilvl w:val="0"/>
          <w:numId w:val="1"/>
        </w:numPr>
        <w:rPr>
          <w:sz w:val="22"/>
          <w:szCs w:val="22"/>
        </w:rPr>
      </w:pPr>
      <w:r w:rsidRPr="00555225">
        <w:rPr>
          <w:sz w:val="22"/>
          <w:szCs w:val="22"/>
        </w:rPr>
        <w:t>I</w:t>
      </w:r>
      <w:r w:rsidR="001248EB" w:rsidRPr="00555225">
        <w:rPr>
          <w:sz w:val="22"/>
          <w:szCs w:val="22"/>
        </w:rPr>
        <w:t>ncrease</w:t>
      </w:r>
      <w:r w:rsidRPr="00555225">
        <w:rPr>
          <w:sz w:val="22"/>
          <w:szCs w:val="22"/>
        </w:rPr>
        <w:t xml:space="preserve"> helmet wearing among cyclists</w:t>
      </w:r>
      <w:r w:rsidR="001248EB" w:rsidRPr="00555225">
        <w:rPr>
          <w:sz w:val="22"/>
          <w:szCs w:val="22"/>
        </w:rPr>
        <w:t>.</w:t>
      </w:r>
      <w:r w:rsidRPr="00555225">
        <w:rPr>
          <w:sz w:val="22"/>
          <w:szCs w:val="22"/>
        </w:rPr>
        <w:t xml:space="preserve"> </w:t>
      </w:r>
    </w:p>
    <w:p w14:paraId="665C7226" w14:textId="77777777" w:rsidR="00177897" w:rsidRPr="00555225" w:rsidRDefault="00177897" w:rsidP="00177897">
      <w:pPr>
        <w:rPr>
          <w:b/>
          <w:bCs/>
          <w:sz w:val="22"/>
          <w:szCs w:val="22"/>
        </w:rPr>
      </w:pPr>
    </w:p>
    <w:p w14:paraId="1D3113D8" w14:textId="5EA1B3EF" w:rsidR="00177897" w:rsidRPr="00555225" w:rsidRDefault="00177897" w:rsidP="00177897">
      <w:pPr>
        <w:rPr>
          <w:sz w:val="22"/>
          <w:szCs w:val="22"/>
        </w:rPr>
      </w:pPr>
      <w:r w:rsidRPr="00555225">
        <w:rPr>
          <w:sz w:val="22"/>
          <w:szCs w:val="22"/>
        </w:rPr>
        <w:t xml:space="preserve">The full report, including country-by-country data and detailed policy analysis, is available at </w:t>
      </w:r>
      <w:hyperlink r:id="rId5" w:history="1">
        <w:r w:rsidR="00F51396" w:rsidRPr="00C74CA1">
          <w:rPr>
            <w:rStyle w:val="Hypertextovodkaz"/>
            <w:sz w:val="22"/>
            <w:szCs w:val="22"/>
          </w:rPr>
          <w:t>www.etsc.eu/pinflash50</w:t>
        </w:r>
      </w:hyperlink>
      <w:r w:rsidRPr="00555225">
        <w:rPr>
          <w:sz w:val="22"/>
          <w:szCs w:val="22"/>
        </w:rPr>
        <w:t>.</w:t>
      </w:r>
    </w:p>
    <w:p w14:paraId="0C287F49" w14:textId="77777777" w:rsidR="00177897" w:rsidRPr="00555225" w:rsidRDefault="00177897" w:rsidP="00177897">
      <w:pPr>
        <w:rPr>
          <w:sz w:val="22"/>
          <w:szCs w:val="22"/>
        </w:rPr>
      </w:pPr>
    </w:p>
    <w:p w14:paraId="18528C38" w14:textId="77777777" w:rsidR="00F51396" w:rsidRPr="00555225" w:rsidRDefault="00F51396" w:rsidP="00F51396">
      <w:pPr>
        <w:rPr>
          <w:b/>
          <w:bCs/>
          <w:sz w:val="22"/>
          <w:szCs w:val="22"/>
        </w:rPr>
      </w:pPr>
      <w:r w:rsidRPr="00555225">
        <w:rPr>
          <w:b/>
          <w:bCs/>
          <w:sz w:val="22"/>
          <w:szCs w:val="22"/>
        </w:rPr>
        <w:t>Notes to editors</w:t>
      </w:r>
    </w:p>
    <w:p w14:paraId="573B4853" w14:textId="77777777" w:rsidR="00F51396" w:rsidRDefault="00F51396" w:rsidP="00E16758">
      <w:pPr>
        <w:rPr>
          <w:sz w:val="22"/>
          <w:szCs w:val="22"/>
        </w:rPr>
      </w:pPr>
    </w:p>
    <w:p w14:paraId="72FD05A8" w14:textId="699FF8BC" w:rsidR="00E16758" w:rsidRPr="00555225" w:rsidRDefault="00E16758" w:rsidP="00E16758">
      <w:pPr>
        <w:rPr>
          <w:sz w:val="22"/>
          <w:szCs w:val="22"/>
          <w:lang/>
        </w:rPr>
      </w:pPr>
      <w:r w:rsidRPr="00555225">
        <w:rPr>
          <w:sz w:val="22"/>
          <w:szCs w:val="22"/>
          <w:lang/>
        </w:rPr>
        <w:t>The European Transport Safety Council is the independent voice for road safety in Europe.</w:t>
      </w:r>
      <w:r w:rsidR="00F51396">
        <w:rPr>
          <w:sz w:val="22"/>
          <w:szCs w:val="22"/>
          <w:lang/>
        </w:rPr>
        <w:t xml:space="preserve"> </w:t>
      </w:r>
      <w:hyperlink r:id="rId6" w:history="1">
        <w:r w:rsidR="00F51396" w:rsidRPr="00C74CA1">
          <w:rPr>
            <w:rStyle w:val="Hypertextovodkaz"/>
            <w:sz w:val="22"/>
            <w:szCs w:val="22"/>
            <w:lang/>
          </w:rPr>
          <w:t>www.etsc.eu</w:t>
        </w:r>
      </w:hyperlink>
      <w:r w:rsidR="00F51396">
        <w:rPr>
          <w:sz w:val="22"/>
          <w:szCs w:val="22"/>
          <w:lang/>
        </w:rPr>
        <w:t xml:space="preserve">.  </w:t>
      </w:r>
      <w:r w:rsidRPr="00555225">
        <w:rPr>
          <w:sz w:val="22"/>
          <w:szCs w:val="22"/>
          <w:lang/>
        </w:rPr>
        <w:t xml:space="preserve">Follow ETSC on Bluesky </w:t>
      </w:r>
      <w:hyperlink r:id="rId7" w:history="1">
        <w:r w:rsidRPr="00555225">
          <w:rPr>
            <w:rStyle w:val="Hypertextovodkaz"/>
            <w:sz w:val="22"/>
            <w:szCs w:val="22"/>
            <w:lang/>
          </w:rPr>
          <w:t>@etsc_eu</w:t>
        </w:r>
      </w:hyperlink>
      <w:r w:rsidRPr="00555225">
        <w:rPr>
          <w:sz w:val="22"/>
          <w:szCs w:val="22"/>
          <w:lang/>
        </w:rPr>
        <w:t xml:space="preserve"> and </w:t>
      </w:r>
      <w:hyperlink r:id="rId8" w:history="1">
        <w:r w:rsidRPr="00555225">
          <w:rPr>
            <w:rStyle w:val="Hypertextovodkaz"/>
            <w:sz w:val="22"/>
            <w:szCs w:val="22"/>
            <w:lang/>
          </w:rPr>
          <w:t>LinkedIn</w:t>
        </w:r>
      </w:hyperlink>
      <w:r w:rsidRPr="00555225">
        <w:rPr>
          <w:sz w:val="22"/>
          <w:szCs w:val="22"/>
          <w:lang/>
        </w:rPr>
        <w:t>.</w:t>
      </w:r>
    </w:p>
    <w:p w14:paraId="1786C66F" w14:textId="77777777" w:rsidR="00E16758" w:rsidRPr="00555225" w:rsidRDefault="00E16758" w:rsidP="00E16758">
      <w:pPr>
        <w:rPr>
          <w:sz w:val="22"/>
          <w:szCs w:val="22"/>
          <w:lang/>
        </w:rPr>
      </w:pPr>
    </w:p>
    <w:p w14:paraId="041A4E02" w14:textId="2A8C7E7E" w:rsidR="00E16758" w:rsidRPr="00555225" w:rsidRDefault="00E16758" w:rsidP="00E16758">
      <w:pPr>
        <w:rPr>
          <w:sz w:val="22"/>
          <w:szCs w:val="22"/>
          <w:lang/>
        </w:rPr>
      </w:pPr>
      <w:r w:rsidRPr="00555225">
        <w:rPr>
          <w:sz w:val="22"/>
          <w:szCs w:val="22"/>
          <w:lang/>
        </w:rPr>
        <w:t>ETSC’s Road Safety Performance Index (PIN) programme receives financial support from the German Road Safety Council (DVR), Toyota Motor Europe, the Norwegian Public Roads Administration, CITA – the International Motor Vehicle Inspection Committee and Fundación MAPFRE.</w:t>
      </w:r>
    </w:p>
    <w:p w14:paraId="49A090CF" w14:textId="77777777" w:rsidR="00555225" w:rsidRDefault="00555225" w:rsidP="00E16758">
      <w:pPr>
        <w:rPr>
          <w:b/>
          <w:bCs/>
          <w:sz w:val="22"/>
          <w:szCs w:val="22"/>
          <w:lang/>
        </w:rPr>
      </w:pPr>
    </w:p>
    <w:p w14:paraId="6A5CF877" w14:textId="55EB115C" w:rsidR="005F7BA9" w:rsidRPr="00555225" w:rsidRDefault="00E16758">
      <w:pPr>
        <w:rPr>
          <w:sz w:val="22"/>
          <w:szCs w:val="22"/>
          <w:lang/>
        </w:rPr>
      </w:pPr>
      <w:r w:rsidRPr="00555225">
        <w:rPr>
          <w:b/>
          <w:bCs/>
          <w:sz w:val="22"/>
          <w:szCs w:val="22"/>
          <w:lang/>
        </w:rPr>
        <w:t>For further information</w:t>
      </w:r>
      <w:r w:rsidR="00555225">
        <w:rPr>
          <w:b/>
          <w:bCs/>
          <w:sz w:val="22"/>
          <w:szCs w:val="22"/>
          <w:lang/>
        </w:rPr>
        <w:t xml:space="preserve">: </w:t>
      </w:r>
      <w:r w:rsidRPr="00555225">
        <w:rPr>
          <w:sz w:val="22"/>
          <w:szCs w:val="22"/>
          <w:lang/>
        </w:rPr>
        <w:t xml:space="preserve">Dudley Curtis, Communications Manager, </w:t>
      </w:r>
      <w:hyperlink r:id="rId9" w:history="1">
        <w:r w:rsidRPr="00555225">
          <w:rPr>
            <w:rStyle w:val="Hypertextovodkaz"/>
            <w:sz w:val="22"/>
            <w:szCs w:val="22"/>
            <w:lang/>
          </w:rPr>
          <w:t>dc@etsc.eu</w:t>
        </w:r>
      </w:hyperlink>
      <w:r w:rsidRPr="00555225">
        <w:rPr>
          <w:sz w:val="22"/>
          <w:szCs w:val="22"/>
        </w:rPr>
        <w:t>, +32 485 379945</w:t>
      </w:r>
      <w:r w:rsidRPr="00555225">
        <w:rPr>
          <w:sz w:val="22"/>
          <w:szCs w:val="22"/>
          <w:lang/>
        </w:rPr>
        <w:t xml:space="preserve"> </w:t>
      </w:r>
    </w:p>
    <w:sectPr w:rsidR="005F7BA9" w:rsidRPr="00555225" w:rsidSect="00177897">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E1674"/>
    <w:multiLevelType w:val="hybridMultilevel"/>
    <w:tmpl w:val="1B7498C6"/>
    <w:lvl w:ilvl="0" w:tplc="7250E564">
      <w:start w:val="1"/>
      <w:numFmt w:val="bullet"/>
      <w:lvlText w:val="•"/>
      <w:lvlJc w:val="left"/>
      <w:pPr>
        <w:ind w:left="720" w:hanging="360"/>
      </w:pPr>
      <w:rPr>
        <w:rFonts w:ascii="Arial" w:eastAsia="Arial" w:hAnsi="Arial" w:cs="Arial"/>
      </w:rPr>
    </w:lvl>
    <w:lvl w:ilvl="1" w:tplc="D5CEC96A">
      <w:numFmt w:val="decimal"/>
      <w:lvlText w:val=""/>
      <w:lvlJc w:val="left"/>
    </w:lvl>
    <w:lvl w:ilvl="2" w:tplc="76E47FBA">
      <w:numFmt w:val="decimal"/>
      <w:lvlText w:val=""/>
      <w:lvlJc w:val="left"/>
    </w:lvl>
    <w:lvl w:ilvl="3" w:tplc="AA423E14">
      <w:numFmt w:val="decimal"/>
      <w:lvlText w:val=""/>
      <w:lvlJc w:val="left"/>
    </w:lvl>
    <w:lvl w:ilvl="4" w:tplc="015C8508">
      <w:numFmt w:val="decimal"/>
      <w:lvlText w:val=""/>
      <w:lvlJc w:val="left"/>
    </w:lvl>
    <w:lvl w:ilvl="5" w:tplc="077459B4">
      <w:numFmt w:val="decimal"/>
      <w:lvlText w:val=""/>
      <w:lvlJc w:val="left"/>
    </w:lvl>
    <w:lvl w:ilvl="6" w:tplc="C8D635D0">
      <w:numFmt w:val="decimal"/>
      <w:lvlText w:val=""/>
      <w:lvlJc w:val="left"/>
    </w:lvl>
    <w:lvl w:ilvl="7" w:tplc="C1DE02E8">
      <w:numFmt w:val="decimal"/>
      <w:lvlText w:val=""/>
      <w:lvlJc w:val="left"/>
    </w:lvl>
    <w:lvl w:ilvl="8" w:tplc="EA3A7AEA">
      <w:numFmt w:val="decimal"/>
      <w:lvlText w:val=""/>
      <w:lvlJc w:val="left"/>
    </w:lvl>
  </w:abstractNum>
  <w:num w:numId="1" w16cid:durableId="2766442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897"/>
    <w:rsid w:val="000771F6"/>
    <w:rsid w:val="000D237D"/>
    <w:rsid w:val="001248EB"/>
    <w:rsid w:val="00177897"/>
    <w:rsid w:val="001E045A"/>
    <w:rsid w:val="00234E6A"/>
    <w:rsid w:val="0025585F"/>
    <w:rsid w:val="002D6A45"/>
    <w:rsid w:val="00330414"/>
    <w:rsid w:val="003361FD"/>
    <w:rsid w:val="00373676"/>
    <w:rsid w:val="003F33BE"/>
    <w:rsid w:val="00402364"/>
    <w:rsid w:val="00555225"/>
    <w:rsid w:val="005C20C4"/>
    <w:rsid w:val="005F0195"/>
    <w:rsid w:val="005F7BA9"/>
    <w:rsid w:val="006A4632"/>
    <w:rsid w:val="006D1AB5"/>
    <w:rsid w:val="007A57E7"/>
    <w:rsid w:val="0082334D"/>
    <w:rsid w:val="008C786B"/>
    <w:rsid w:val="00922C6F"/>
    <w:rsid w:val="00B2481B"/>
    <w:rsid w:val="00B612A3"/>
    <w:rsid w:val="00B6451B"/>
    <w:rsid w:val="00BC478C"/>
    <w:rsid w:val="00C2166D"/>
    <w:rsid w:val="00C415C3"/>
    <w:rsid w:val="00CD57F9"/>
    <w:rsid w:val="00CE749D"/>
    <w:rsid w:val="00D1309E"/>
    <w:rsid w:val="00D27BDE"/>
    <w:rsid w:val="00DC2CF1"/>
    <w:rsid w:val="00DE2B2F"/>
    <w:rsid w:val="00DE2DB4"/>
    <w:rsid w:val="00E16758"/>
    <w:rsid w:val="00E7763E"/>
    <w:rsid w:val="00EB17A2"/>
    <w:rsid w:val="00F51396"/>
    <w:rsid w:val="00F841AB"/>
    <w:rsid w:val="00FC0E60"/>
    <w:rsid w:val="00FE0A76"/>
    <w:rsid w:val="00FE4E0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4C3A"/>
  <w15:chartTrackingRefBased/>
  <w15:docId w15:val="{06D060B2-6AB6-5449-8334-BC6FEC58A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en-GB"/>
    </w:rPr>
  </w:style>
  <w:style w:type="paragraph" w:styleId="Nadpis1">
    <w:name w:val="heading 1"/>
    <w:basedOn w:val="Normln"/>
    <w:next w:val="Normln"/>
    <w:link w:val="Nadpis1Char"/>
    <w:uiPriority w:val="9"/>
    <w:qFormat/>
    <w:rsid w:val="002D6A45"/>
    <w:pPr>
      <w:keepNext/>
      <w:keepLines/>
      <w:spacing w:before="480"/>
      <w:jc w:val="both"/>
      <w:outlineLvl w:val="0"/>
    </w:pPr>
    <w:rPr>
      <w:rFonts w:asciiTheme="majorHAnsi" w:eastAsiaTheme="majorEastAsia" w:hAnsiTheme="majorHAnsi" w:cstheme="majorBidi"/>
      <w:b/>
      <w:bCs/>
      <w:color w:val="934303"/>
      <w:sz w:val="40"/>
      <w:szCs w:val="32"/>
    </w:rPr>
  </w:style>
  <w:style w:type="paragraph" w:styleId="Nadpis2">
    <w:name w:val="heading 2"/>
    <w:basedOn w:val="Normln"/>
    <w:next w:val="Normln"/>
    <w:link w:val="Nadpis2Char"/>
    <w:uiPriority w:val="9"/>
    <w:unhideWhenUsed/>
    <w:qFormat/>
    <w:rsid w:val="002D6A45"/>
    <w:pPr>
      <w:keepNext/>
      <w:keepLines/>
      <w:spacing w:before="200"/>
      <w:jc w:val="both"/>
      <w:outlineLvl w:val="1"/>
    </w:pPr>
    <w:rPr>
      <w:rFonts w:asciiTheme="majorHAnsi" w:eastAsiaTheme="majorEastAsia" w:hAnsiTheme="majorHAnsi" w:cstheme="majorBidi"/>
      <w:b/>
      <w:bCs/>
      <w:color w:val="934303"/>
      <w:sz w:val="26"/>
      <w:szCs w:val="26"/>
    </w:rPr>
  </w:style>
  <w:style w:type="paragraph" w:styleId="Nadpis3">
    <w:name w:val="heading 3"/>
    <w:basedOn w:val="Normln"/>
    <w:next w:val="Normln"/>
    <w:link w:val="Nadpis3Char"/>
    <w:uiPriority w:val="9"/>
    <w:semiHidden/>
    <w:unhideWhenUsed/>
    <w:qFormat/>
    <w:rsid w:val="00177897"/>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177897"/>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177897"/>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177897"/>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77897"/>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77897"/>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77897"/>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D6A45"/>
    <w:rPr>
      <w:rFonts w:asciiTheme="majorHAnsi" w:eastAsiaTheme="majorEastAsia" w:hAnsiTheme="majorHAnsi" w:cstheme="majorBidi"/>
      <w:b/>
      <w:bCs/>
      <w:color w:val="934303"/>
      <w:sz w:val="40"/>
      <w:szCs w:val="32"/>
    </w:rPr>
  </w:style>
  <w:style w:type="character" w:customStyle="1" w:styleId="Nadpis2Char">
    <w:name w:val="Nadpis 2 Char"/>
    <w:basedOn w:val="Standardnpsmoodstavce"/>
    <w:link w:val="Nadpis2"/>
    <w:uiPriority w:val="9"/>
    <w:rsid w:val="002D6A45"/>
    <w:rPr>
      <w:rFonts w:asciiTheme="majorHAnsi" w:eastAsiaTheme="majorEastAsia" w:hAnsiTheme="majorHAnsi" w:cstheme="majorBidi"/>
      <w:b/>
      <w:bCs/>
      <w:color w:val="934303"/>
      <w:sz w:val="26"/>
      <w:szCs w:val="26"/>
    </w:rPr>
  </w:style>
  <w:style w:type="character" w:customStyle="1" w:styleId="Nadpis3Char">
    <w:name w:val="Nadpis 3 Char"/>
    <w:basedOn w:val="Standardnpsmoodstavce"/>
    <w:link w:val="Nadpis3"/>
    <w:uiPriority w:val="9"/>
    <w:semiHidden/>
    <w:rsid w:val="00177897"/>
    <w:rPr>
      <w:rFonts w:eastAsiaTheme="majorEastAsia" w:cstheme="majorBidi"/>
      <w:color w:val="2F5496" w:themeColor="accent1" w:themeShade="BF"/>
      <w:sz w:val="28"/>
      <w:szCs w:val="28"/>
      <w:lang w:val="en-GB"/>
    </w:rPr>
  </w:style>
  <w:style w:type="character" w:customStyle="1" w:styleId="Nadpis4Char">
    <w:name w:val="Nadpis 4 Char"/>
    <w:basedOn w:val="Standardnpsmoodstavce"/>
    <w:link w:val="Nadpis4"/>
    <w:uiPriority w:val="9"/>
    <w:semiHidden/>
    <w:rsid w:val="00177897"/>
    <w:rPr>
      <w:rFonts w:eastAsiaTheme="majorEastAsia" w:cstheme="majorBidi"/>
      <w:i/>
      <w:iCs/>
      <w:color w:val="2F5496" w:themeColor="accent1" w:themeShade="BF"/>
      <w:lang w:val="en-GB"/>
    </w:rPr>
  </w:style>
  <w:style w:type="character" w:customStyle="1" w:styleId="Nadpis5Char">
    <w:name w:val="Nadpis 5 Char"/>
    <w:basedOn w:val="Standardnpsmoodstavce"/>
    <w:link w:val="Nadpis5"/>
    <w:uiPriority w:val="9"/>
    <w:semiHidden/>
    <w:rsid w:val="00177897"/>
    <w:rPr>
      <w:rFonts w:eastAsiaTheme="majorEastAsia" w:cstheme="majorBidi"/>
      <w:color w:val="2F5496" w:themeColor="accent1" w:themeShade="BF"/>
      <w:lang w:val="en-GB"/>
    </w:rPr>
  </w:style>
  <w:style w:type="character" w:customStyle="1" w:styleId="Nadpis6Char">
    <w:name w:val="Nadpis 6 Char"/>
    <w:basedOn w:val="Standardnpsmoodstavce"/>
    <w:link w:val="Nadpis6"/>
    <w:uiPriority w:val="9"/>
    <w:semiHidden/>
    <w:rsid w:val="00177897"/>
    <w:rPr>
      <w:rFonts w:eastAsiaTheme="majorEastAsia" w:cstheme="majorBidi"/>
      <w:i/>
      <w:iCs/>
      <w:color w:val="595959" w:themeColor="text1" w:themeTint="A6"/>
      <w:lang w:val="en-GB"/>
    </w:rPr>
  </w:style>
  <w:style w:type="character" w:customStyle="1" w:styleId="Nadpis7Char">
    <w:name w:val="Nadpis 7 Char"/>
    <w:basedOn w:val="Standardnpsmoodstavce"/>
    <w:link w:val="Nadpis7"/>
    <w:uiPriority w:val="9"/>
    <w:semiHidden/>
    <w:rsid w:val="00177897"/>
    <w:rPr>
      <w:rFonts w:eastAsiaTheme="majorEastAsia" w:cstheme="majorBidi"/>
      <w:color w:val="595959" w:themeColor="text1" w:themeTint="A6"/>
      <w:lang w:val="en-GB"/>
    </w:rPr>
  </w:style>
  <w:style w:type="character" w:customStyle="1" w:styleId="Nadpis8Char">
    <w:name w:val="Nadpis 8 Char"/>
    <w:basedOn w:val="Standardnpsmoodstavce"/>
    <w:link w:val="Nadpis8"/>
    <w:uiPriority w:val="9"/>
    <w:semiHidden/>
    <w:rsid w:val="00177897"/>
    <w:rPr>
      <w:rFonts w:eastAsiaTheme="majorEastAsia" w:cstheme="majorBidi"/>
      <w:i/>
      <w:iCs/>
      <w:color w:val="272727" w:themeColor="text1" w:themeTint="D8"/>
      <w:lang w:val="en-GB"/>
    </w:rPr>
  </w:style>
  <w:style w:type="character" w:customStyle="1" w:styleId="Nadpis9Char">
    <w:name w:val="Nadpis 9 Char"/>
    <w:basedOn w:val="Standardnpsmoodstavce"/>
    <w:link w:val="Nadpis9"/>
    <w:uiPriority w:val="9"/>
    <w:semiHidden/>
    <w:rsid w:val="00177897"/>
    <w:rPr>
      <w:rFonts w:eastAsiaTheme="majorEastAsia" w:cstheme="majorBidi"/>
      <w:color w:val="272727" w:themeColor="text1" w:themeTint="D8"/>
      <w:lang w:val="en-GB"/>
    </w:rPr>
  </w:style>
  <w:style w:type="paragraph" w:styleId="Nzev">
    <w:name w:val="Title"/>
    <w:basedOn w:val="Normln"/>
    <w:next w:val="Normln"/>
    <w:link w:val="NzevChar"/>
    <w:uiPriority w:val="10"/>
    <w:qFormat/>
    <w:rsid w:val="00177897"/>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77897"/>
    <w:rPr>
      <w:rFonts w:asciiTheme="majorHAnsi" w:eastAsiaTheme="majorEastAsia" w:hAnsiTheme="majorHAnsi" w:cstheme="majorBidi"/>
      <w:spacing w:val="-10"/>
      <w:kern w:val="28"/>
      <w:sz w:val="56"/>
      <w:szCs w:val="56"/>
      <w:lang w:val="en-GB"/>
    </w:rPr>
  </w:style>
  <w:style w:type="paragraph" w:styleId="Podnadpis">
    <w:name w:val="Subtitle"/>
    <w:basedOn w:val="Normln"/>
    <w:next w:val="Normln"/>
    <w:link w:val="PodnadpisChar"/>
    <w:uiPriority w:val="11"/>
    <w:qFormat/>
    <w:rsid w:val="00177897"/>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77897"/>
    <w:rPr>
      <w:rFonts w:eastAsiaTheme="majorEastAsia" w:cstheme="majorBidi"/>
      <w:color w:val="595959" w:themeColor="text1" w:themeTint="A6"/>
      <w:spacing w:val="15"/>
      <w:sz w:val="28"/>
      <w:szCs w:val="28"/>
      <w:lang w:val="en-GB"/>
    </w:rPr>
  </w:style>
  <w:style w:type="paragraph" w:styleId="Citt">
    <w:name w:val="Quote"/>
    <w:basedOn w:val="Normln"/>
    <w:next w:val="Normln"/>
    <w:link w:val="CittChar"/>
    <w:uiPriority w:val="29"/>
    <w:qFormat/>
    <w:rsid w:val="00177897"/>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177897"/>
    <w:rPr>
      <w:i/>
      <w:iCs/>
      <w:color w:val="404040" w:themeColor="text1" w:themeTint="BF"/>
      <w:lang w:val="en-GB"/>
    </w:rPr>
  </w:style>
  <w:style w:type="paragraph" w:styleId="Odstavecseseznamem">
    <w:name w:val="List Paragraph"/>
    <w:basedOn w:val="Normln"/>
    <w:uiPriority w:val="34"/>
    <w:qFormat/>
    <w:rsid w:val="00177897"/>
    <w:pPr>
      <w:ind w:left="720"/>
      <w:contextualSpacing/>
    </w:pPr>
  </w:style>
  <w:style w:type="character" w:styleId="Zdraznnintenzivn">
    <w:name w:val="Intense Emphasis"/>
    <w:basedOn w:val="Standardnpsmoodstavce"/>
    <w:uiPriority w:val="21"/>
    <w:qFormat/>
    <w:rsid w:val="00177897"/>
    <w:rPr>
      <w:i/>
      <w:iCs/>
      <w:color w:val="2F5496" w:themeColor="accent1" w:themeShade="BF"/>
    </w:rPr>
  </w:style>
  <w:style w:type="paragraph" w:styleId="Vrazncitt">
    <w:name w:val="Intense Quote"/>
    <w:basedOn w:val="Normln"/>
    <w:next w:val="Normln"/>
    <w:link w:val="VrazncittChar"/>
    <w:uiPriority w:val="30"/>
    <w:qFormat/>
    <w:rsid w:val="001778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177897"/>
    <w:rPr>
      <w:i/>
      <w:iCs/>
      <w:color w:val="2F5496" w:themeColor="accent1" w:themeShade="BF"/>
      <w:lang w:val="en-GB"/>
    </w:rPr>
  </w:style>
  <w:style w:type="character" w:styleId="Odkazintenzivn">
    <w:name w:val="Intense Reference"/>
    <w:basedOn w:val="Standardnpsmoodstavce"/>
    <w:uiPriority w:val="32"/>
    <w:qFormat/>
    <w:rsid w:val="00177897"/>
    <w:rPr>
      <w:b/>
      <w:bCs/>
      <w:smallCaps/>
      <w:color w:val="2F5496" w:themeColor="accent1" w:themeShade="BF"/>
      <w:spacing w:val="5"/>
    </w:rPr>
  </w:style>
  <w:style w:type="character" w:styleId="Hypertextovodkaz">
    <w:name w:val="Hyperlink"/>
    <w:basedOn w:val="Standardnpsmoodstavce"/>
    <w:uiPriority w:val="99"/>
    <w:unhideWhenUsed/>
    <w:rsid w:val="00177897"/>
    <w:rPr>
      <w:color w:val="0563C1" w:themeColor="hyperlink"/>
      <w:u w:val="single"/>
    </w:rPr>
  </w:style>
  <w:style w:type="character" w:customStyle="1" w:styleId="UnresolvedMention1">
    <w:name w:val="Unresolved Mention1"/>
    <w:basedOn w:val="Standardnpsmoodstavce"/>
    <w:uiPriority w:val="99"/>
    <w:semiHidden/>
    <w:unhideWhenUsed/>
    <w:rsid w:val="00177897"/>
    <w:rPr>
      <w:color w:val="605E5C"/>
      <w:shd w:val="clear" w:color="auto" w:fill="E1DFDD"/>
    </w:rPr>
  </w:style>
  <w:style w:type="paragraph" w:styleId="Revize">
    <w:name w:val="Revision"/>
    <w:hidden/>
    <w:uiPriority w:val="99"/>
    <w:semiHidden/>
    <w:rsid w:val="00F841AB"/>
    <w:rPr>
      <w:lang w:val="en-GB"/>
    </w:rPr>
  </w:style>
  <w:style w:type="character" w:styleId="Odkaznakoment">
    <w:name w:val="annotation reference"/>
    <w:basedOn w:val="Standardnpsmoodstavce"/>
    <w:uiPriority w:val="99"/>
    <w:semiHidden/>
    <w:unhideWhenUsed/>
    <w:rsid w:val="00B6451B"/>
    <w:rPr>
      <w:sz w:val="16"/>
      <w:szCs w:val="16"/>
    </w:rPr>
  </w:style>
  <w:style w:type="paragraph" w:styleId="Textkomente">
    <w:name w:val="annotation text"/>
    <w:basedOn w:val="Normln"/>
    <w:link w:val="TextkomenteChar"/>
    <w:uiPriority w:val="99"/>
    <w:unhideWhenUsed/>
    <w:rsid w:val="00B6451B"/>
    <w:rPr>
      <w:sz w:val="20"/>
      <w:szCs w:val="20"/>
    </w:rPr>
  </w:style>
  <w:style w:type="character" w:customStyle="1" w:styleId="TextkomenteChar">
    <w:name w:val="Text komentáře Char"/>
    <w:basedOn w:val="Standardnpsmoodstavce"/>
    <w:link w:val="Textkomente"/>
    <w:uiPriority w:val="99"/>
    <w:rsid w:val="00B6451B"/>
    <w:rPr>
      <w:sz w:val="20"/>
      <w:szCs w:val="20"/>
      <w:lang w:val="en-GB"/>
    </w:rPr>
  </w:style>
  <w:style w:type="paragraph" w:styleId="Pedmtkomente">
    <w:name w:val="annotation subject"/>
    <w:basedOn w:val="Textkomente"/>
    <w:next w:val="Textkomente"/>
    <w:link w:val="PedmtkomenteChar"/>
    <w:uiPriority w:val="99"/>
    <w:semiHidden/>
    <w:unhideWhenUsed/>
    <w:rsid w:val="00B6451B"/>
    <w:rPr>
      <w:b/>
      <w:bCs/>
    </w:rPr>
  </w:style>
  <w:style w:type="character" w:customStyle="1" w:styleId="PedmtkomenteChar">
    <w:name w:val="Předmět komentáře Char"/>
    <w:basedOn w:val="TextkomenteChar"/>
    <w:link w:val="Pedmtkomente"/>
    <w:uiPriority w:val="99"/>
    <w:semiHidden/>
    <w:rsid w:val="00B6451B"/>
    <w:rPr>
      <w:b/>
      <w:bCs/>
      <w:sz w:val="20"/>
      <w:szCs w:val="20"/>
      <w:lang w:val="en-GB"/>
    </w:rPr>
  </w:style>
  <w:style w:type="paragraph" w:styleId="Textbubliny">
    <w:name w:val="Balloon Text"/>
    <w:basedOn w:val="Normln"/>
    <w:link w:val="TextbublinyChar"/>
    <w:uiPriority w:val="99"/>
    <w:semiHidden/>
    <w:unhideWhenUsed/>
    <w:rsid w:val="00C415C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415C3"/>
    <w:rPr>
      <w:rFonts w:ascii="Segoe UI" w:hAnsi="Segoe UI" w:cs="Segoe UI"/>
      <w:sz w:val="18"/>
      <w:szCs w:val="18"/>
      <w:lang w:val="en-GB"/>
    </w:rPr>
  </w:style>
  <w:style w:type="character" w:styleId="Nevyeenzmnka">
    <w:name w:val="Unresolved Mention"/>
    <w:basedOn w:val="Standardnpsmoodstavce"/>
    <w:uiPriority w:val="99"/>
    <w:semiHidden/>
    <w:unhideWhenUsed/>
    <w:rsid w:val="00E167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european-transport-safety-council/" TargetMode="External"/><Relationship Id="rId3" Type="http://schemas.openxmlformats.org/officeDocument/2006/relationships/settings" Target="settings.xml"/><Relationship Id="rId7" Type="http://schemas.openxmlformats.org/officeDocument/2006/relationships/hyperlink" Target="https://bsky.app/profile/etsc.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tsc.eu" TargetMode="External"/><Relationship Id="rId11" Type="http://schemas.openxmlformats.org/officeDocument/2006/relationships/theme" Target="theme/theme1.xml"/><Relationship Id="rId5" Type="http://schemas.openxmlformats.org/officeDocument/2006/relationships/hyperlink" Target="http://www.etsc.eu/pinflash5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c@etsc.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890</Words>
  <Characters>5256</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European Transport Safety Council</Company>
  <LinksUpToDate>false</LinksUpToDate>
  <CharactersWithSpaces>6134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Dudley Curtis</dc:creator>
  <cp:keywords/>
  <dc:description/>
  <cp:lastModifiedBy>Veronika Peťková</cp:lastModifiedBy>
  <cp:revision>13</cp:revision>
  <cp:lastPrinted>2026-04-14T13:02:00Z</cp:lastPrinted>
  <dcterms:created xsi:type="dcterms:W3CDTF">2026-04-15T08:22:00Z</dcterms:created>
  <dcterms:modified xsi:type="dcterms:W3CDTF">2026-04-20T10:58:00Z</dcterms:modified>
  <cp:category/>
</cp:coreProperties>
</file>